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65" w:rsidRDefault="00697965" w:rsidP="00697965">
      <w:pPr>
        <w:pStyle w:val="a5"/>
        <w:autoSpaceDE w:val="0"/>
        <w:autoSpaceDN w:val="0"/>
        <w:adjustRightInd w:val="0"/>
        <w:spacing w:after="0" w:line="240" w:lineRule="auto"/>
        <w:ind w:left="1080"/>
        <w:jc w:val="both"/>
        <w:rPr>
          <w:rFonts w:ascii="Times New Roman" w:hAnsi="Times New Roman" w:cs="Times New Roman"/>
          <w:sz w:val="24"/>
          <w:szCs w:val="24"/>
        </w:rPr>
      </w:pPr>
      <w:bookmarkStart w:id="0" w:name="_GoBack"/>
      <w:bookmarkEnd w:id="0"/>
    </w:p>
    <w:p w:rsidR="00697965" w:rsidRDefault="00697965" w:rsidP="00697965">
      <w:pPr>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Критерий за възлагане: „Икономически най-изгодна оферта"</w:t>
      </w:r>
    </w:p>
    <w:p w:rsidR="00697965" w:rsidRDefault="00697965" w:rsidP="00697965">
      <w:pPr>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КРИТЕРИЙ ЗА ОЦЕНКА</w:t>
      </w:r>
    </w:p>
    <w:p w:rsidR="00697965" w:rsidRDefault="00697965" w:rsidP="00697965">
      <w:pPr>
        <w:pStyle w:val="a3"/>
        <w:ind w:firstLine="709"/>
        <w:jc w:val="both"/>
      </w:pPr>
      <w:r>
        <w:t>Класирането на допуснатите до участие оферти се извършва на база получената за всяка оферта комплексна оценка „К</w:t>
      </w:r>
      <w:r>
        <w:rPr>
          <w:vertAlign w:val="subscript"/>
        </w:rPr>
        <w:t>i</w:t>
      </w:r>
      <w:r>
        <w:t>“, като сума от индивидуалните оценки на членовете на комисията по съответните показатели.</w:t>
      </w:r>
    </w:p>
    <w:p w:rsidR="00697965" w:rsidRDefault="00697965" w:rsidP="00697965">
      <w:pPr>
        <w:ind w:firstLine="709"/>
        <w:jc w:val="both"/>
        <w:rPr>
          <w:rFonts w:ascii="Times New Roman" w:hAnsi="Times New Roman" w:cs="Times New Roman"/>
          <w:sz w:val="24"/>
          <w:szCs w:val="24"/>
        </w:rPr>
      </w:pPr>
      <w:r>
        <w:rPr>
          <w:rFonts w:ascii="Times New Roman" w:hAnsi="Times New Roman" w:cs="Times New Roman"/>
          <w:sz w:val="24"/>
          <w:szCs w:val="24"/>
        </w:rPr>
        <w:t>Участникът с най-висок коефициент „К</w:t>
      </w:r>
      <w:r>
        <w:rPr>
          <w:rFonts w:ascii="Times New Roman" w:hAnsi="Times New Roman" w:cs="Times New Roman"/>
          <w:sz w:val="24"/>
          <w:szCs w:val="24"/>
          <w:vertAlign w:val="subscript"/>
        </w:rPr>
        <w:t>i</w:t>
      </w:r>
      <w:r>
        <w:rPr>
          <w:rFonts w:ascii="Times New Roman" w:hAnsi="Times New Roman" w:cs="Times New Roman"/>
          <w:sz w:val="24"/>
          <w:szCs w:val="24"/>
        </w:rPr>
        <w:t>“ се класира на първо място. Класирането на офертите се извършва в зависимост от комплексната оценка на участника по долу представената методика, която се формира като сбор от получените точки по отделните показатели за оценка след осредняване. Показателите, с тяхната относителна тежест за определяне на комплексната оценка за всяка оферта, са:</w:t>
      </w:r>
    </w:p>
    <w:p w:rsidR="00697965" w:rsidRDefault="00697965" w:rsidP="00697965">
      <w:pPr>
        <w:numPr>
          <w:ilvl w:val="0"/>
          <w:numId w:val="3"/>
        </w:numPr>
        <w:spacing w:after="0" w:line="240" w:lineRule="auto"/>
        <w:ind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Техническа оценка Т</w:t>
      </w:r>
      <w:r>
        <w:rPr>
          <w:rFonts w:ascii="Times New Roman" w:eastAsia="Calibri" w:hAnsi="Times New Roman" w:cs="Times New Roman"/>
          <w:sz w:val="24"/>
          <w:szCs w:val="24"/>
          <w:vertAlign w:val="subscript"/>
        </w:rPr>
        <w:t>i</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QUOTE </w:instrText>
      </w:r>
      <w:r w:rsidR="00EF0B90">
        <w:rPr>
          <w:rFonts w:ascii="Times New Roman" w:eastAsia="Calibri" w:hAnsi="Times New Roman" w:cs="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5.05pt" equationxml="&lt;">
            <v:imagedata r:id="rId6" o:title="" chromakey="white"/>
          </v:shape>
        </w:pic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- 60%;</w:t>
      </w:r>
    </w:p>
    <w:p w:rsidR="00697965" w:rsidRDefault="00697965" w:rsidP="00697965">
      <w:pPr>
        <w:numPr>
          <w:ilvl w:val="0"/>
          <w:numId w:val="3"/>
        </w:numPr>
        <w:spacing w:after="0" w:line="240" w:lineRule="auto"/>
        <w:ind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Финансова оценка Ф</w:t>
      </w:r>
      <w:r>
        <w:rPr>
          <w:rFonts w:ascii="Times New Roman" w:eastAsia="Calibri" w:hAnsi="Times New Roman" w:cs="Times New Roman"/>
          <w:sz w:val="24"/>
          <w:szCs w:val="24"/>
          <w:vertAlign w:val="subscript"/>
        </w:rPr>
        <w:t>i</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QUOTE </w:instrText>
      </w:r>
      <w:r w:rsidR="00EF0B90">
        <w:rPr>
          <w:rFonts w:ascii="Times New Roman" w:eastAsia="Calibri" w:hAnsi="Times New Roman" w:cs="Times New Roman"/>
          <w:position w:val="-11"/>
          <w:sz w:val="24"/>
          <w:szCs w:val="24"/>
        </w:rPr>
        <w:pict>
          <v:shape id="_x0000_i1026" type="#_x0000_t75" style="width:17.55pt;height:15.05pt" equationxml="&lt;">
            <v:imagedata r:id="rId7" o:title="" chromakey="white"/>
          </v:shape>
        </w:pic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- 40%</w:t>
      </w:r>
    </w:p>
    <w:p w:rsidR="00697965" w:rsidRDefault="00697965" w:rsidP="00697965">
      <w:pPr>
        <w:ind w:firstLine="709"/>
        <w:jc w:val="both"/>
        <w:rPr>
          <w:rFonts w:ascii="Times New Roman" w:hAnsi="Times New Roman" w:cs="Times New Roman"/>
          <w:sz w:val="24"/>
          <w:szCs w:val="24"/>
        </w:rPr>
      </w:pPr>
    </w:p>
    <w:p w:rsidR="00697965" w:rsidRDefault="00697965" w:rsidP="00697965">
      <w:pPr>
        <w:autoSpaceDE w:val="0"/>
        <w:autoSpaceDN w:val="0"/>
        <w:adjustRightInd w:val="0"/>
        <w:ind w:firstLine="709"/>
        <w:jc w:val="both"/>
        <w:rPr>
          <w:rFonts w:ascii="Times New Roman" w:hAnsi="Times New Roman" w:cs="Times New Roman"/>
          <w:color w:val="000000"/>
          <w:sz w:val="24"/>
          <w:szCs w:val="24"/>
        </w:rPr>
      </w:pPr>
      <w:r>
        <w:rPr>
          <w:rFonts w:ascii="Times New Roman" w:eastAsia="TimesNewRomanPSMT" w:hAnsi="Times New Roman" w:cs="Times New Roman"/>
          <w:sz w:val="24"/>
          <w:szCs w:val="24"/>
        </w:rPr>
        <w:t xml:space="preserve">Настоящата методика </w:t>
      </w:r>
      <w:r>
        <w:rPr>
          <w:rFonts w:ascii="Times New Roman" w:hAnsi="Times New Roman" w:cs="Times New Roman"/>
          <w:color w:val="000000"/>
          <w:sz w:val="24"/>
          <w:szCs w:val="24"/>
        </w:rPr>
        <w:t xml:space="preserve">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697965" w:rsidRDefault="00697965" w:rsidP="00697965">
      <w:pPr>
        <w:rPr>
          <w:rFonts w:ascii="Times New Roman" w:hAnsi="Times New Roman" w:cs="Times New Roman"/>
          <w:b/>
          <w:bCs/>
          <w:sz w:val="24"/>
          <w:szCs w:val="24"/>
        </w:rPr>
      </w:pPr>
    </w:p>
    <w:p w:rsidR="00697965" w:rsidRDefault="00697965" w:rsidP="00697965">
      <w:pPr>
        <w:jc w:val="cente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МЕТОДИКА ЗА ИКОНОМИЧЕСКИ НАЙ-ИЗГОДНА ОФЕРТА</w:t>
      </w:r>
    </w:p>
    <w:p w:rsidR="00697965" w:rsidRDefault="00697965" w:rsidP="00697965">
      <w:pPr>
        <w:jc w:val="center"/>
        <w:rPr>
          <w:rFonts w:ascii="Times New Roman" w:hAnsi="Times New Roman" w:cs="Times New Roman"/>
          <w:b/>
          <w:bCs/>
          <w:smallCaps/>
          <w:sz w:val="24"/>
          <w:szCs w:val="24"/>
          <w:u w:val="single"/>
        </w:rPr>
      </w:pPr>
    </w:p>
    <w:p w:rsidR="00697965" w:rsidRDefault="00697965" w:rsidP="0069796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Оценката по всеки показател се формира при условията посочени по-долу, като максималният брой точки, който участникът може да получи е 100 т. Получените оценки се умножават с коефициент (процент), представляващ относителната тежест на съответния показател. Полученото произведение, представлява получените от участника точки за показателя.</w:t>
      </w:r>
    </w:p>
    <w:p w:rsidR="00697965" w:rsidRDefault="00697965" w:rsidP="0069796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Комплексната оценка на участника се получава след умножаване на резултата, получен от прилагане на съответните формули с процент, представляващ тежестта на показателя. Сборът от точките по всички показатели е крайният коефициент „К</w:t>
      </w:r>
      <w:r>
        <w:rPr>
          <w:rFonts w:ascii="Times New Roman" w:hAnsi="Times New Roman" w:cs="Times New Roman"/>
          <w:sz w:val="24"/>
          <w:szCs w:val="24"/>
          <w:vertAlign w:val="subscript"/>
        </w:rPr>
        <w:t>i</w:t>
      </w:r>
      <w:r>
        <w:rPr>
          <w:rFonts w:ascii="Times New Roman" w:hAnsi="Times New Roman" w:cs="Times New Roman"/>
          <w:sz w:val="24"/>
          <w:szCs w:val="24"/>
        </w:rPr>
        <w:t>”, на базата на който се определя класирането на участниците.</w:t>
      </w:r>
    </w:p>
    <w:p w:rsidR="00697965" w:rsidRDefault="00697965" w:rsidP="0069796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Участникът събрал най–много точки се класира на първо място, като по низходящ ред се класират всички останали участници. </w:t>
      </w:r>
    </w:p>
    <w:p w:rsidR="00697965" w:rsidRDefault="00697965" w:rsidP="00697965">
      <w:pPr>
        <w:ind w:firstLine="708"/>
        <w:jc w:val="both"/>
        <w:rPr>
          <w:rFonts w:ascii="Times New Roman" w:hAnsi="Times New Roman" w:cs="Times New Roman"/>
          <w:sz w:val="24"/>
          <w:szCs w:val="24"/>
          <w:u w:val="single"/>
        </w:rPr>
      </w:pPr>
    </w:p>
    <w:p w:rsidR="00697965" w:rsidRDefault="00697965" w:rsidP="00697965">
      <w:pPr>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Формула за определяне на краен коефициент ”К</w:t>
      </w:r>
      <w:r>
        <w:rPr>
          <w:rFonts w:ascii="Times New Roman" w:hAnsi="Times New Roman" w:cs="Times New Roman"/>
          <w:sz w:val="24"/>
          <w:szCs w:val="24"/>
          <w:vertAlign w:val="subscript"/>
        </w:rPr>
        <w:t>i</w:t>
      </w:r>
      <w:r>
        <w:rPr>
          <w:rFonts w:ascii="Times New Roman" w:hAnsi="Times New Roman" w:cs="Times New Roman"/>
          <w:sz w:val="24"/>
          <w:szCs w:val="24"/>
          <w:u w:val="single"/>
        </w:rPr>
        <w:t>”</w:t>
      </w:r>
    </w:p>
    <w:p w:rsidR="00697965" w:rsidRDefault="00697965" w:rsidP="00697965">
      <w:pPr>
        <w:rPr>
          <w:rFonts w:ascii="Times New Roman" w:hAnsi="Times New Roman" w:cs="Times New Roman"/>
          <w:sz w:val="24"/>
          <w:szCs w:val="24"/>
        </w:rPr>
      </w:pPr>
    </w:p>
    <w:p w:rsidR="00697965" w:rsidRDefault="00697965" w:rsidP="00697965">
      <w:pPr>
        <w:jc w:val="both"/>
        <w:rPr>
          <w:rFonts w:ascii="Times New Roman" w:hAnsi="Times New Roman" w:cs="Times New Roman"/>
          <w:sz w:val="24"/>
          <w:szCs w:val="24"/>
          <w:u w:val="single"/>
        </w:rPr>
      </w:pPr>
      <w:r>
        <w:rPr>
          <w:rFonts w:ascii="Times New Roman" w:hAnsi="Times New Roman" w:cs="Times New Roman"/>
          <w:b/>
          <w:bCs/>
          <w:sz w:val="24"/>
          <w:szCs w:val="24"/>
        </w:rPr>
        <w:t>К = Ф</w:t>
      </w:r>
      <w:r>
        <w:rPr>
          <w:rFonts w:ascii="Times New Roman" w:hAnsi="Times New Roman" w:cs="Times New Roman"/>
          <w:b/>
          <w:sz w:val="24"/>
          <w:szCs w:val="24"/>
          <w:vertAlign w:val="subscript"/>
        </w:rPr>
        <w:t>i</w:t>
      </w:r>
      <w:r>
        <w:rPr>
          <w:rFonts w:ascii="Times New Roman" w:hAnsi="Times New Roman" w:cs="Times New Roman"/>
          <w:b/>
          <w:bCs/>
          <w:sz w:val="24"/>
          <w:szCs w:val="24"/>
        </w:rPr>
        <w:t xml:space="preserve"> х 40 %  + Т</w:t>
      </w:r>
      <w:r>
        <w:rPr>
          <w:rFonts w:ascii="Times New Roman" w:hAnsi="Times New Roman" w:cs="Times New Roman"/>
          <w:b/>
          <w:sz w:val="24"/>
          <w:szCs w:val="24"/>
          <w:vertAlign w:val="subscript"/>
        </w:rPr>
        <w:t>i</w:t>
      </w:r>
      <w:r>
        <w:rPr>
          <w:rFonts w:ascii="Times New Roman" w:hAnsi="Times New Roman" w:cs="Times New Roman"/>
          <w:b/>
          <w:bCs/>
          <w:sz w:val="24"/>
          <w:szCs w:val="24"/>
        </w:rPr>
        <w:t xml:space="preserve"> х 60 % ,</w:t>
      </w:r>
      <w:r>
        <w:rPr>
          <w:rFonts w:ascii="Times New Roman" w:hAnsi="Times New Roman" w:cs="Times New Roman"/>
          <w:sz w:val="24"/>
          <w:szCs w:val="24"/>
        </w:rPr>
        <w:t xml:space="preserve"> където:</w:t>
      </w:r>
    </w:p>
    <w:p w:rsidR="00697965" w:rsidRDefault="00697965" w:rsidP="00697965">
      <w:pPr>
        <w:rPr>
          <w:rFonts w:ascii="Times New Roman" w:hAnsi="Times New Roman" w:cs="Times New Roman"/>
          <w:sz w:val="24"/>
          <w:szCs w:val="24"/>
        </w:rPr>
      </w:pPr>
    </w:p>
    <w:p w:rsidR="00697965" w:rsidRDefault="00697965" w:rsidP="00697965">
      <w:pPr>
        <w:tabs>
          <w:tab w:val="left" w:pos="6840"/>
        </w:tabs>
        <w:jc w:val="both"/>
        <w:rPr>
          <w:rFonts w:ascii="Times New Roman" w:hAnsi="Times New Roman" w:cs="Times New Roman"/>
          <w:sz w:val="24"/>
          <w:szCs w:val="24"/>
        </w:rPr>
      </w:pPr>
      <w:r>
        <w:rPr>
          <w:rFonts w:ascii="Times New Roman" w:hAnsi="Times New Roman" w:cs="Times New Roman"/>
          <w:b/>
          <w:bCs/>
          <w:sz w:val="24"/>
          <w:szCs w:val="24"/>
          <w:u w:val="single"/>
        </w:rPr>
        <w:t>Ф</w:t>
      </w:r>
      <w:r>
        <w:rPr>
          <w:rFonts w:ascii="Times New Roman" w:hAnsi="Times New Roman" w:cs="Times New Roman"/>
          <w:b/>
          <w:sz w:val="24"/>
          <w:szCs w:val="24"/>
          <w:vertAlign w:val="subscript"/>
        </w:rPr>
        <w:t>i</w:t>
      </w:r>
      <w:r>
        <w:rPr>
          <w:rFonts w:ascii="Times New Roman" w:hAnsi="Times New Roman" w:cs="Times New Roman"/>
          <w:sz w:val="24"/>
          <w:szCs w:val="24"/>
          <w:u w:val="single"/>
        </w:rPr>
        <w:t xml:space="preserve"> – </w:t>
      </w:r>
      <w:r>
        <w:rPr>
          <w:rFonts w:ascii="Times New Roman" w:hAnsi="Times New Roman" w:cs="Times New Roman"/>
          <w:b/>
          <w:bCs/>
          <w:sz w:val="24"/>
          <w:szCs w:val="24"/>
          <w:u w:val="single"/>
        </w:rPr>
        <w:t>Финансова оценка</w:t>
      </w:r>
      <w:r>
        <w:rPr>
          <w:rFonts w:ascii="Times New Roman" w:hAnsi="Times New Roman" w:cs="Times New Roman"/>
          <w:sz w:val="24"/>
          <w:szCs w:val="24"/>
        </w:rPr>
        <w:t xml:space="preserve"> – показател за предлаганата цена от Участника. </w:t>
      </w:r>
      <w:r>
        <w:rPr>
          <w:rFonts w:ascii="Times New Roman" w:hAnsi="Times New Roman" w:cs="Times New Roman"/>
          <w:b/>
          <w:bCs/>
          <w:sz w:val="24"/>
          <w:szCs w:val="24"/>
        </w:rPr>
        <w:t xml:space="preserve">При оценяването се взема предвид предлаганото от участника общо сумарно възнаграждение за извършване на услугата. </w:t>
      </w:r>
    </w:p>
    <w:p w:rsidR="00697965" w:rsidRDefault="00697965" w:rsidP="00697965">
      <w:pPr>
        <w:ind w:firstLine="709"/>
        <w:jc w:val="both"/>
        <w:rPr>
          <w:rFonts w:ascii="Times New Roman" w:hAnsi="Times New Roman" w:cs="Times New Roman"/>
          <w:sz w:val="24"/>
          <w:szCs w:val="24"/>
        </w:rPr>
      </w:pPr>
      <w:r>
        <w:rPr>
          <w:rFonts w:ascii="Times New Roman" w:hAnsi="Times New Roman" w:cs="Times New Roman"/>
          <w:sz w:val="24"/>
          <w:szCs w:val="24"/>
        </w:rPr>
        <w:t xml:space="preserve">Най-висока оценка получава предложението, което осигурява изпълнението на поръчката срещу най–малък бюджетен разход. Максималният брой точки, който участникът може да получи е 100 т. </w:t>
      </w:r>
    </w:p>
    <w:p w:rsidR="00697965" w:rsidRDefault="00697965" w:rsidP="00697965">
      <w:pPr>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Финансовата оценка се изчислява по формулата: </w:t>
      </w:r>
    </w:p>
    <w:p w:rsidR="00697965" w:rsidRDefault="00697965" w:rsidP="00697965">
      <w:pPr>
        <w:jc w:val="both"/>
        <w:rPr>
          <w:rFonts w:ascii="Times New Roman" w:hAnsi="Times New Roman" w:cs="Times New Roman"/>
          <w:sz w:val="24"/>
          <w:szCs w:val="24"/>
        </w:rPr>
      </w:pPr>
    </w:p>
    <w:p w:rsidR="00697965" w:rsidRDefault="00697965" w:rsidP="00697965">
      <w:pPr>
        <w:tabs>
          <w:tab w:val="left" w:pos="3330"/>
        </w:tabs>
        <w:rPr>
          <w:rFonts w:ascii="Times New Roman" w:hAnsi="Times New Roman" w:cs="Times New Roman"/>
          <w:sz w:val="24"/>
          <w:szCs w:val="24"/>
          <w:vertAlign w:val="subscript"/>
        </w:rPr>
      </w:pPr>
      <w:r>
        <w:rPr>
          <w:rFonts w:ascii="Times New Roman" w:hAnsi="Times New Roman" w:cs="Times New Roman"/>
          <w:b/>
          <w:sz w:val="24"/>
          <w:szCs w:val="24"/>
        </w:rPr>
        <w:t>Ф</w:t>
      </w:r>
      <w:r>
        <w:rPr>
          <w:rFonts w:ascii="Times New Roman" w:hAnsi="Times New Roman" w:cs="Times New Roman"/>
          <w:b/>
          <w:sz w:val="24"/>
          <w:szCs w:val="24"/>
          <w:vertAlign w:val="subscript"/>
        </w:rPr>
        <w:t xml:space="preserve">i =  </w:t>
      </w:r>
      <w:r>
        <w:rPr>
          <w:rFonts w:ascii="Times New Roman" w:hAnsi="Times New Roman" w:cs="Times New Roman"/>
          <w:b/>
          <w:sz w:val="24"/>
          <w:szCs w:val="24"/>
          <w:u w:val="single"/>
          <w:vertAlign w:val="superscript"/>
        </w:rPr>
        <w:t xml:space="preserve">Ц </w:t>
      </w:r>
      <w:r>
        <w:rPr>
          <w:rFonts w:ascii="Times New Roman" w:hAnsi="Times New Roman" w:cs="Times New Roman"/>
          <w:b/>
          <w:i/>
          <w:sz w:val="24"/>
          <w:szCs w:val="24"/>
          <w:u w:val="single"/>
          <w:vertAlign w:val="superscript"/>
        </w:rPr>
        <w:t>min</w:t>
      </w:r>
      <w:r>
        <w:rPr>
          <w:rFonts w:ascii="Times New Roman" w:hAnsi="Times New Roman" w:cs="Times New Roman"/>
          <w:i/>
          <w:sz w:val="24"/>
          <w:szCs w:val="24"/>
          <w:u w:val="single"/>
        </w:rPr>
        <w:t xml:space="preserve">  </w:t>
      </w:r>
      <w:r>
        <w:rPr>
          <w:rFonts w:ascii="Times New Roman" w:hAnsi="Times New Roman" w:cs="Times New Roman"/>
          <w:sz w:val="24"/>
          <w:szCs w:val="24"/>
          <w:vertAlign w:val="subscript"/>
        </w:rPr>
        <w:t xml:space="preserve"> </w:t>
      </w:r>
      <w:r>
        <w:rPr>
          <w:rFonts w:ascii="Times New Roman" w:hAnsi="Times New Roman" w:cs="Times New Roman"/>
          <w:b/>
          <w:sz w:val="24"/>
          <w:szCs w:val="24"/>
          <w:vertAlign w:val="subscript"/>
        </w:rPr>
        <w:t>*</w:t>
      </w:r>
      <w:r>
        <w:rPr>
          <w:rFonts w:ascii="Times New Roman" w:hAnsi="Times New Roman" w:cs="Times New Roman"/>
          <w:b/>
          <w:sz w:val="24"/>
          <w:szCs w:val="24"/>
        </w:rPr>
        <w:t>100</w:t>
      </w:r>
    </w:p>
    <w:p w:rsidR="00697965" w:rsidRDefault="00697965" w:rsidP="00697965">
      <w:pPr>
        <w:tabs>
          <w:tab w:val="left" w:pos="3330"/>
        </w:tabs>
        <w:ind w:left="567"/>
        <w:rPr>
          <w:rFonts w:ascii="Times New Roman" w:hAnsi="Times New Roman" w:cs="Times New Roman"/>
          <w:b/>
          <w:sz w:val="24"/>
          <w:szCs w:val="24"/>
          <w:vertAlign w:val="subscript"/>
        </w:rPr>
      </w:pPr>
      <w:r>
        <w:rPr>
          <w:rFonts w:ascii="Times New Roman" w:hAnsi="Times New Roman" w:cs="Times New Roman"/>
          <w:b/>
          <w:sz w:val="24"/>
          <w:szCs w:val="24"/>
        </w:rPr>
        <w:t xml:space="preserve">Ц </w:t>
      </w:r>
      <w:r>
        <w:rPr>
          <w:rFonts w:ascii="Times New Roman" w:hAnsi="Times New Roman" w:cs="Times New Roman"/>
          <w:b/>
          <w:i/>
          <w:sz w:val="24"/>
          <w:szCs w:val="24"/>
        </w:rPr>
        <w:t>i</w:t>
      </w:r>
    </w:p>
    <w:p w:rsidR="00697965" w:rsidRDefault="00697965" w:rsidP="00697965">
      <w:pPr>
        <w:tabs>
          <w:tab w:val="left" w:pos="3330"/>
        </w:tabs>
        <w:rPr>
          <w:rFonts w:ascii="Times New Roman" w:hAnsi="Times New Roman" w:cs="Times New Roman"/>
          <w:b/>
          <w:i/>
          <w:sz w:val="24"/>
          <w:szCs w:val="24"/>
        </w:rPr>
      </w:pPr>
    </w:p>
    <w:p w:rsidR="00697965" w:rsidRDefault="00697965" w:rsidP="00697965">
      <w:pPr>
        <w:rPr>
          <w:rFonts w:ascii="Times New Roman" w:hAnsi="Times New Roman" w:cs="Times New Roman"/>
          <w:sz w:val="24"/>
          <w:szCs w:val="24"/>
        </w:rPr>
      </w:pPr>
      <w:r>
        <w:rPr>
          <w:rFonts w:ascii="Times New Roman" w:hAnsi="Times New Roman" w:cs="Times New Roman"/>
          <w:sz w:val="24"/>
          <w:szCs w:val="24"/>
        </w:rPr>
        <w:t>Където Ц</w:t>
      </w:r>
      <w:r>
        <w:rPr>
          <w:rFonts w:ascii="Times New Roman" w:hAnsi="Times New Roman" w:cs="Times New Roman"/>
          <w:sz w:val="24"/>
          <w:szCs w:val="24"/>
          <w:vertAlign w:val="subscript"/>
        </w:rPr>
        <w:t>i</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QUOTE </w:instrText>
      </w:r>
      <w:r w:rsidR="00EF0B90">
        <w:rPr>
          <w:rFonts w:ascii="Times New Roman" w:hAnsi="Times New Roman" w:cs="Times New Roman"/>
          <w:b/>
          <w:position w:val="-6"/>
          <w:sz w:val="24"/>
          <w:szCs w:val="24"/>
        </w:rPr>
        <w:pict>
          <v:shape id="_x0000_i1027" type="#_x0000_t75" style="width:31.3pt;height:14.4pt" equationxml="&lt;">
            <v:imagedata r:id="rId8" o:title="" chromakey="white"/>
          </v:shape>
        </w:pic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end"/>
      </w:r>
      <w:r>
        <w:rPr>
          <w:rFonts w:ascii="Times New Roman" w:hAnsi="Times New Roman" w:cs="Times New Roman"/>
          <w:sz w:val="24"/>
          <w:szCs w:val="24"/>
        </w:rPr>
        <w:t xml:space="preserve"> е предложената цена в разглежданата оферта, а Ц</w:t>
      </w:r>
      <w:r>
        <w:rPr>
          <w:rFonts w:ascii="Times New Roman" w:hAnsi="Times New Roman" w:cs="Times New Roman"/>
          <w:sz w:val="24"/>
          <w:szCs w:val="24"/>
          <w:vertAlign w:val="subscript"/>
        </w:rPr>
        <w:t>min</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QUOTE </w:instrText>
      </w:r>
      <w:r w:rsidR="00EF0B90">
        <w:rPr>
          <w:rFonts w:ascii="Times New Roman" w:hAnsi="Times New Roman" w:cs="Times New Roman"/>
          <w:b/>
          <w:position w:val="-6"/>
          <w:sz w:val="24"/>
          <w:szCs w:val="24"/>
        </w:rPr>
        <w:pict>
          <v:shape id="_x0000_i1028" type="#_x0000_t75" style="width:45.1pt;height:14.4pt" equationxml="&lt;">
            <v:imagedata r:id="rId9" o:title="" chromakey="white"/>
          </v:shape>
        </w:pic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end"/>
      </w:r>
      <w:r>
        <w:rPr>
          <w:rFonts w:ascii="Times New Roman" w:hAnsi="Times New Roman" w:cs="Times New Roman"/>
          <w:sz w:val="24"/>
          <w:szCs w:val="24"/>
        </w:rPr>
        <w:t>е най-ниската предложена цена от всички участници.</w:t>
      </w:r>
    </w:p>
    <w:p w:rsidR="00697965" w:rsidRDefault="00697965" w:rsidP="00697965">
      <w:pPr>
        <w:ind w:right="-108"/>
        <w:jc w:val="both"/>
        <w:rPr>
          <w:rFonts w:ascii="Times New Roman" w:hAnsi="Times New Roman" w:cs="Times New Roman"/>
          <w:sz w:val="24"/>
          <w:szCs w:val="24"/>
        </w:rPr>
      </w:pPr>
    </w:p>
    <w:p w:rsidR="00697965" w:rsidRDefault="00697965" w:rsidP="00697965">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Т – Техническа оценка - представлява оценка на детайлизацията на техническото предложение на всеки участник, която представлява отговор на посочените в таблицата по- долу въпроси.</w:t>
      </w:r>
    </w:p>
    <w:p w:rsidR="00697965" w:rsidRDefault="00697965" w:rsidP="00697965">
      <w:pPr>
        <w:autoSpaceDE w:val="0"/>
        <w:autoSpaceDN w:val="0"/>
        <w:adjustRightInd w:val="0"/>
        <w:ind w:firstLine="709"/>
        <w:jc w:val="both"/>
        <w:rPr>
          <w:rFonts w:ascii="Times New Roman" w:hAnsi="Times New Roman" w:cs="Times New Roman"/>
          <w:sz w:val="24"/>
          <w:szCs w:val="24"/>
        </w:rPr>
      </w:pPr>
      <w:r>
        <w:rPr>
          <w:rFonts w:ascii="Times New Roman" w:eastAsia="TimesNewRomanPSMT" w:hAnsi="Times New Roman" w:cs="Times New Roman"/>
          <w:sz w:val="24"/>
          <w:szCs w:val="24"/>
        </w:rPr>
        <w:t>Максималният брой точки, които участникът може да получи на техническа оценка е 100 т.</w:t>
      </w:r>
    </w:p>
    <w:p w:rsidR="00697965" w:rsidRDefault="00697965" w:rsidP="00697965">
      <w:pPr>
        <w:autoSpaceDE w:val="0"/>
        <w:autoSpaceDN w:val="0"/>
        <w:adjustRightInd w:val="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Всеки член от комисията оценява предложението на участника по всеки от посочените в таблицата по-долу показатели, в зависимост от предложеното решение в Техническото предложение на участника, с точки по представената скала, посочена при всеки показател за оценяване. Всеки участник в комисията може по измерими критерии да определи коя от посочените в скалата, оценки избира. </w:t>
      </w:r>
    </w:p>
    <w:p w:rsidR="00697965" w:rsidRDefault="00697965" w:rsidP="00697965">
      <w:pPr>
        <w:autoSpaceDE w:val="0"/>
        <w:autoSpaceDN w:val="0"/>
        <w:adjustRightInd w:val="0"/>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Оценява се дали предложеното решение удовлетворява и в каква степен технологични, организационни и нормативни изисквания. Поставянето на оценките по посочената скала се осъществява въз основа на експертното мнение на всеки един от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697965" w:rsidRDefault="00697965" w:rsidP="00697965">
      <w:pPr>
        <w:ind w:firstLine="709"/>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Комисията преценява </w:t>
      </w:r>
      <w:r>
        <w:rPr>
          <w:rFonts w:ascii="Times New Roman" w:hAnsi="Times New Roman" w:cs="Times New Roman"/>
          <w:color w:val="000000"/>
          <w:sz w:val="24"/>
          <w:szCs w:val="24"/>
        </w:rPr>
        <w:t xml:space="preserve">разбирането на участника за обхвата на поръчката, преценката за необходимите ресурси и организацията на работата в етапа на реализация </w:t>
      </w:r>
      <w:r>
        <w:rPr>
          <w:rFonts w:ascii="Times New Roman" w:hAnsi="Times New Roman" w:cs="Times New Roman"/>
          <w:color w:val="000000"/>
          <w:sz w:val="24"/>
          <w:szCs w:val="24"/>
        </w:rPr>
        <w:lastRenderedPageBreak/>
        <w:t>предмета на поръчката, която участникът възнамерява да създаде. Предмет на оценка е разпределението на различните ресурси в обособените етапи на работа и координацията на дейностите и участниците в процеса. Комисията преценява дали предложената организация би осигурила в достатъчна степен качество на изпълнение на поръчката</w:t>
      </w:r>
      <w:r>
        <w:rPr>
          <w:rFonts w:ascii="Times New Roman" w:hAnsi="Times New Roman" w:cs="Times New Roman"/>
          <w:color w:val="000000"/>
          <w:spacing w:val="3"/>
          <w:sz w:val="24"/>
          <w:szCs w:val="24"/>
        </w:rPr>
        <w:t xml:space="preserve"> и доколко съществува сериозен риск от вътрешен организационен проблем за изпълнението на поръчката.</w:t>
      </w:r>
    </w:p>
    <w:p w:rsidR="00697965" w:rsidRDefault="00697965" w:rsidP="00697965">
      <w:pPr>
        <w:ind w:firstLine="540"/>
        <w:jc w:val="both"/>
        <w:rPr>
          <w:rFonts w:ascii="Times New Roman" w:hAnsi="Times New Roman" w:cs="Times New Roman"/>
          <w:sz w:val="24"/>
          <w:szCs w:val="24"/>
        </w:rPr>
      </w:pPr>
      <w:r>
        <w:rPr>
          <w:rFonts w:ascii="Times New Roman" w:hAnsi="Times New Roman" w:cs="Times New Roman"/>
          <w:color w:val="000000"/>
          <w:sz w:val="24"/>
          <w:szCs w:val="24"/>
        </w:rPr>
        <w:t>Оценяват се стратегията, методите и похватите, посочени от участника за изпълнение на услугата, и тяхното съответствие с целите на поръчката. Преценяват се адекватността и целесъобразността на представеното разпределение на задачите и отговорностите между експертите с определените методи и етапи за изпълнение и доколко то се покрива от ресурсна осигуреност, посочена от страна на участника.</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 xml:space="preserve">Комисията преценява дали предложените методи и начини на управление на процесите от участника биха довели до качествено и навременно изпълнение на дейностите – предмет на поръчката, дали приложеното описание на начина, по който ще се гарантират резултатите, е добре обосновано и дали предвиденият вътрешен контрол в максимална степен ще гарантира качествено изпълнение на услугата и устойчивост на </w:t>
      </w:r>
      <w:r>
        <w:rPr>
          <w:rFonts w:ascii="Times New Roman" w:hAnsi="Times New Roman" w:cs="Times New Roman"/>
          <w:sz w:val="24"/>
          <w:szCs w:val="24"/>
        </w:rPr>
        <w:t>резултатите.</w:t>
      </w:r>
    </w:p>
    <w:p w:rsidR="00697965" w:rsidRDefault="00697965" w:rsidP="00697965">
      <w:pPr>
        <w:tabs>
          <w:tab w:val="left" w:pos="567"/>
          <w:tab w:val="left" w:pos="900"/>
        </w:tabs>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4605"/>
        <w:gridCol w:w="2127"/>
      </w:tblGrid>
      <w:tr w:rsidR="00697965" w:rsidTr="00697965">
        <w:tc>
          <w:tcPr>
            <w:tcW w:w="2874"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b/>
                <w:sz w:val="20"/>
                <w:szCs w:val="20"/>
              </w:rPr>
            </w:pPr>
            <w:r>
              <w:rPr>
                <w:rFonts w:ascii="Times New Roman" w:hAnsi="Times New Roman" w:cs="Times New Roman"/>
                <w:b/>
                <w:sz w:val="20"/>
                <w:szCs w:val="20"/>
              </w:rPr>
              <w:t>Показател</w:t>
            </w: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b/>
                <w:sz w:val="20"/>
                <w:szCs w:val="20"/>
              </w:rPr>
            </w:pPr>
            <w:r>
              <w:rPr>
                <w:rFonts w:ascii="Times New Roman" w:hAnsi="Times New Roman" w:cs="Times New Roman"/>
                <w:b/>
                <w:sz w:val="20"/>
                <w:szCs w:val="20"/>
              </w:rPr>
              <w:t>Критерии</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b/>
                <w:sz w:val="20"/>
                <w:szCs w:val="20"/>
              </w:rPr>
            </w:pPr>
            <w:r>
              <w:rPr>
                <w:rFonts w:ascii="Times New Roman" w:hAnsi="Times New Roman" w:cs="Times New Roman"/>
                <w:b/>
                <w:sz w:val="20"/>
                <w:szCs w:val="20"/>
              </w:rPr>
              <w:t>Максимален брой точки</w:t>
            </w:r>
          </w:p>
        </w:tc>
      </w:tr>
      <w:tr w:rsidR="00697965" w:rsidTr="00697965">
        <w:tc>
          <w:tcPr>
            <w:tcW w:w="2874" w:type="dxa"/>
            <w:vMerge w:val="restart"/>
            <w:tcBorders>
              <w:top w:val="single" w:sz="4" w:space="0" w:color="auto"/>
              <w:left w:val="single" w:sz="4" w:space="0" w:color="auto"/>
              <w:bottom w:val="single" w:sz="4" w:space="0" w:color="auto"/>
              <w:right w:val="single" w:sz="4" w:space="0" w:color="auto"/>
            </w:tcBorders>
            <w:hideMark/>
          </w:tcPr>
          <w:p w:rsidR="00697965" w:rsidRDefault="00697965">
            <w:pPr>
              <w:jc w:val="both"/>
              <w:rPr>
                <w:rFonts w:ascii="Times New Roman" w:hAnsi="Times New Roman" w:cs="Times New Roman"/>
                <w:sz w:val="20"/>
                <w:szCs w:val="20"/>
              </w:rPr>
            </w:pPr>
            <w:r>
              <w:rPr>
                <w:rFonts w:ascii="Times New Roman" w:hAnsi="Times New Roman" w:cs="Times New Roman"/>
                <w:sz w:val="20"/>
                <w:szCs w:val="20"/>
              </w:rPr>
              <w:t>Организация и методология на изпълнение</w:t>
            </w: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jc w:val="both"/>
              <w:rPr>
                <w:rFonts w:ascii="Times New Roman" w:hAnsi="Times New Roman" w:cs="Times New Roman"/>
                <w:sz w:val="20"/>
                <w:szCs w:val="20"/>
              </w:rPr>
            </w:pPr>
            <w:r>
              <w:rPr>
                <w:rFonts w:ascii="Times New Roman" w:hAnsi="Times New Roman" w:cs="Times New Roman"/>
                <w:sz w:val="20"/>
                <w:szCs w:val="20"/>
              </w:rPr>
              <w:t xml:space="preserve">- Представената от участника организация и методология за изпълнение на поръчката е логически структурирана* и обоснована. Участникът е разписал в предложението си видовете дейности, необходими за изпълнение на поръчката. Дейностите са представени по начин, от който е видно познаването на цялостния процес на подготовка, реализация и изпълнение на задачите, като предложената организация на работата, предвидените ресурси, цялостната координация и контрол на процеса и участниците в него са в пълно съответствие с целите и задачите по реализиране предмета на поръчката. </w:t>
            </w:r>
          </w:p>
          <w:p w:rsidR="00697965" w:rsidRDefault="00697965">
            <w:pPr>
              <w:jc w:val="both"/>
              <w:rPr>
                <w:rFonts w:ascii="Times New Roman" w:hAnsi="Times New Roman" w:cs="Times New Roman"/>
                <w:sz w:val="20"/>
                <w:szCs w:val="20"/>
              </w:rPr>
            </w:pPr>
            <w:r>
              <w:rPr>
                <w:rFonts w:ascii="Times New Roman" w:hAnsi="Times New Roman" w:cs="Times New Roman"/>
                <w:sz w:val="20"/>
                <w:szCs w:val="20"/>
              </w:rPr>
              <w:t xml:space="preserve">- Избраните от участника методи гарантират качественото изпълнение на предмета на поръчката. </w:t>
            </w:r>
          </w:p>
          <w:p w:rsidR="00697965" w:rsidRDefault="00697965">
            <w:pPr>
              <w:jc w:val="both"/>
              <w:rPr>
                <w:rFonts w:ascii="Times New Roman" w:hAnsi="Times New Roman" w:cs="Times New Roman"/>
                <w:sz w:val="20"/>
                <w:szCs w:val="20"/>
              </w:rPr>
            </w:pPr>
            <w:r>
              <w:rPr>
                <w:rFonts w:ascii="Times New Roman" w:hAnsi="Times New Roman" w:cs="Times New Roman"/>
                <w:sz w:val="20"/>
                <w:szCs w:val="20"/>
              </w:rPr>
              <w:t xml:space="preserve">- Задачите и отговорностите между участниците в процеса са разпределени адекватно**, като са съобразени с определените методи и етапи за изпълнение и се покриват с предложената ресурсна обезпеченост, посочена от страна на участника. </w:t>
            </w:r>
          </w:p>
          <w:p w:rsidR="00697965" w:rsidRDefault="00697965">
            <w:pPr>
              <w:jc w:val="both"/>
              <w:rPr>
                <w:rFonts w:ascii="Times New Roman" w:hAnsi="Times New Roman" w:cs="Times New Roman"/>
                <w:sz w:val="20"/>
                <w:szCs w:val="20"/>
              </w:rPr>
            </w:pPr>
            <w:r>
              <w:rPr>
                <w:rFonts w:ascii="Times New Roman" w:hAnsi="Times New Roman" w:cs="Times New Roman"/>
                <w:sz w:val="20"/>
                <w:szCs w:val="20"/>
              </w:rPr>
              <w:t xml:space="preserve">- В предложението на участника посочените методи за отчетност и контрол са логически обосновани, гарантиращи успешната реализация на поръчката. Представеното описание на начина на управление на процесите от участника демонстрират познаване на методите за управление и упражняване на вътрешен контрол. </w:t>
            </w:r>
          </w:p>
          <w:p w:rsidR="00697965" w:rsidRDefault="00697965">
            <w:pPr>
              <w:jc w:val="both"/>
              <w:rPr>
                <w:rFonts w:ascii="Times New Roman" w:hAnsi="Times New Roman" w:cs="Times New Roman"/>
                <w:sz w:val="20"/>
                <w:szCs w:val="20"/>
              </w:rPr>
            </w:pPr>
            <w:r>
              <w:rPr>
                <w:rFonts w:ascii="Times New Roman" w:hAnsi="Times New Roman" w:cs="Times New Roman"/>
                <w:sz w:val="20"/>
                <w:szCs w:val="20"/>
              </w:rPr>
              <w:t xml:space="preserve">- Рискът от възникването на вътрешен организационен проблем за изпълнението на поръчката е сведен до минимум. </w:t>
            </w:r>
          </w:p>
          <w:p w:rsidR="00697965" w:rsidRDefault="00697965">
            <w:pPr>
              <w:jc w:val="both"/>
              <w:rPr>
                <w:rFonts w:ascii="Times New Roman" w:hAnsi="Times New Roman" w:cs="Times New Roman"/>
                <w:sz w:val="20"/>
                <w:szCs w:val="20"/>
              </w:rPr>
            </w:pPr>
            <w:r>
              <w:rPr>
                <w:rFonts w:ascii="Times New Roman" w:hAnsi="Times New Roman" w:cs="Times New Roman"/>
                <w:sz w:val="20"/>
                <w:szCs w:val="20"/>
              </w:rPr>
              <w:t>- Представената организация и методология е логически структурирана и предвидените с нея дейности са реалистични и изпълними.</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sz w:val="20"/>
                <w:szCs w:val="20"/>
              </w:rPr>
            </w:pPr>
            <w:r>
              <w:rPr>
                <w:rFonts w:ascii="Times New Roman" w:hAnsi="Times New Roman" w:cs="Times New Roman"/>
                <w:sz w:val="20"/>
                <w:szCs w:val="20"/>
              </w:rPr>
              <w:t>100 т.</w:t>
            </w:r>
          </w:p>
        </w:tc>
      </w:tr>
      <w:tr w:rsidR="00697965" w:rsidTr="00697965">
        <w:tc>
          <w:tcPr>
            <w:tcW w:w="0" w:type="auto"/>
            <w:vMerge/>
            <w:tcBorders>
              <w:top w:val="single" w:sz="4" w:space="0" w:color="auto"/>
              <w:left w:val="single" w:sz="4" w:space="0" w:color="auto"/>
              <w:bottom w:val="single" w:sz="4" w:space="0" w:color="auto"/>
              <w:right w:val="single" w:sz="4" w:space="0" w:color="auto"/>
            </w:tcBorders>
            <w:vAlign w:val="center"/>
            <w:hideMark/>
          </w:tcPr>
          <w:p w:rsidR="00697965" w:rsidRDefault="00697965">
            <w:pPr>
              <w:spacing w:after="0" w:line="240" w:lineRule="auto"/>
              <w:rPr>
                <w:rFonts w:ascii="Times New Roman" w:hAnsi="Times New Roman" w:cs="Times New Roman"/>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tabs>
                <w:tab w:val="left" w:pos="567"/>
                <w:tab w:val="left" w:pos="709"/>
              </w:tabs>
              <w:jc w:val="both"/>
              <w:rPr>
                <w:rFonts w:ascii="Times New Roman" w:hAnsi="Times New Roman" w:cs="Times New Roman"/>
                <w:b/>
                <w:sz w:val="20"/>
                <w:szCs w:val="20"/>
              </w:rPr>
            </w:pPr>
            <w:r>
              <w:rPr>
                <w:rFonts w:ascii="Times New Roman" w:hAnsi="Times New Roman" w:cs="Times New Roman"/>
                <w:b/>
                <w:sz w:val="20"/>
                <w:szCs w:val="20"/>
              </w:rPr>
              <w:t>Налице е поне едно от следните условия:</w:t>
            </w:r>
          </w:p>
          <w:p w:rsidR="00697965" w:rsidRDefault="00697965">
            <w:pPr>
              <w:tabs>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xml:space="preserve">- В представената от участника организация и методология за изпълнение на част от </w:t>
            </w:r>
            <w:r>
              <w:rPr>
                <w:rFonts w:ascii="Times New Roman" w:hAnsi="Times New Roman" w:cs="Times New Roman"/>
                <w:spacing w:val="3"/>
                <w:sz w:val="20"/>
                <w:szCs w:val="20"/>
              </w:rPr>
              <w:t xml:space="preserve">планираните дейности за постигане на резултатите не </w:t>
            </w:r>
            <w:r>
              <w:rPr>
                <w:rFonts w:ascii="Times New Roman" w:hAnsi="Times New Roman" w:cs="Times New Roman"/>
                <w:sz w:val="20"/>
                <w:szCs w:val="20"/>
              </w:rPr>
              <w:t xml:space="preserve">са описани </w:t>
            </w:r>
            <w:r>
              <w:rPr>
                <w:rFonts w:ascii="Times New Roman" w:hAnsi="Times New Roman" w:cs="Times New Roman"/>
                <w:spacing w:val="3"/>
                <w:sz w:val="20"/>
                <w:szCs w:val="20"/>
              </w:rPr>
              <w:t xml:space="preserve">логически структурирано и обосновано. </w:t>
            </w:r>
          </w:p>
          <w:p w:rsidR="00697965" w:rsidRDefault="00697965">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 xml:space="preserve">- Предложената организация на работата или на обособените етапи, или на ресурсното обезпечаване, или на координацията на дейностите и участниците в процеса не са логически и адекватно разпределени и не са обосновани. </w:t>
            </w:r>
          </w:p>
          <w:p w:rsidR="00697965" w:rsidRDefault="00697965">
            <w:pPr>
              <w:tabs>
                <w:tab w:val="left" w:pos="180"/>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Избраните методи, посочени от участника, и инструментите за изпълнение на услугата са общо представени или неясно формулирани.</w:t>
            </w:r>
            <w:r>
              <w:rPr>
                <w:rFonts w:ascii="Times New Roman" w:hAnsi="Times New Roman" w:cs="Times New Roman"/>
                <w:spacing w:val="3"/>
                <w:sz w:val="20"/>
                <w:szCs w:val="20"/>
              </w:rPr>
              <w:t xml:space="preserve">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Методите за отчетност и контрол не са съобразени със спецификата на поръчката, поради което не може да се направи категорична преценка дали същите могат да гарантират успешна реализация на поръчката.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Представената организация и методология не е логически обоснована и/или съдържа частични вътрешни противоречия. Някои от предвидените в нея дейности и методи за изпълнението могат да доведат до риск от реализиране на целите на поръчката.</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sz w:val="20"/>
                <w:szCs w:val="20"/>
              </w:rPr>
            </w:pPr>
            <w:r>
              <w:rPr>
                <w:rFonts w:ascii="Times New Roman" w:hAnsi="Times New Roman" w:cs="Times New Roman"/>
                <w:sz w:val="20"/>
                <w:szCs w:val="20"/>
              </w:rPr>
              <w:t>80 т.</w:t>
            </w:r>
          </w:p>
        </w:tc>
      </w:tr>
      <w:tr w:rsidR="00697965" w:rsidTr="00697965">
        <w:tc>
          <w:tcPr>
            <w:tcW w:w="0" w:type="auto"/>
            <w:vMerge/>
            <w:tcBorders>
              <w:top w:val="single" w:sz="4" w:space="0" w:color="auto"/>
              <w:left w:val="single" w:sz="4" w:space="0" w:color="auto"/>
              <w:bottom w:val="single" w:sz="4" w:space="0" w:color="auto"/>
              <w:right w:val="single" w:sz="4" w:space="0" w:color="auto"/>
            </w:tcBorders>
            <w:vAlign w:val="center"/>
            <w:hideMark/>
          </w:tcPr>
          <w:p w:rsidR="00697965" w:rsidRDefault="00697965">
            <w:pPr>
              <w:spacing w:after="0" w:line="240" w:lineRule="auto"/>
              <w:rPr>
                <w:rFonts w:ascii="Times New Roman" w:hAnsi="Times New Roman" w:cs="Times New Roman"/>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tabs>
                <w:tab w:val="left" w:pos="567"/>
                <w:tab w:val="left" w:pos="709"/>
              </w:tabs>
              <w:jc w:val="both"/>
              <w:rPr>
                <w:rFonts w:ascii="Times New Roman" w:hAnsi="Times New Roman" w:cs="Times New Roman"/>
                <w:b/>
                <w:sz w:val="20"/>
                <w:szCs w:val="20"/>
              </w:rPr>
            </w:pPr>
            <w:r>
              <w:rPr>
                <w:rFonts w:ascii="Times New Roman" w:hAnsi="Times New Roman" w:cs="Times New Roman"/>
                <w:b/>
                <w:sz w:val="20"/>
                <w:szCs w:val="20"/>
              </w:rPr>
              <w:t>Налице са поне две от следните условия:</w:t>
            </w:r>
          </w:p>
          <w:p w:rsidR="00697965" w:rsidRDefault="00697965">
            <w:pPr>
              <w:tabs>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xml:space="preserve">- В представената от участника организация и методология за изпълнение на част от </w:t>
            </w:r>
            <w:r>
              <w:rPr>
                <w:rFonts w:ascii="Times New Roman" w:hAnsi="Times New Roman" w:cs="Times New Roman"/>
                <w:spacing w:val="3"/>
                <w:sz w:val="20"/>
                <w:szCs w:val="20"/>
              </w:rPr>
              <w:t xml:space="preserve">планираните дейности за постигане на резултатите не </w:t>
            </w:r>
            <w:r>
              <w:rPr>
                <w:rFonts w:ascii="Times New Roman" w:hAnsi="Times New Roman" w:cs="Times New Roman"/>
                <w:sz w:val="20"/>
                <w:szCs w:val="20"/>
              </w:rPr>
              <w:t xml:space="preserve">са описани </w:t>
            </w:r>
            <w:r>
              <w:rPr>
                <w:rFonts w:ascii="Times New Roman" w:hAnsi="Times New Roman" w:cs="Times New Roman"/>
                <w:spacing w:val="3"/>
                <w:sz w:val="20"/>
                <w:szCs w:val="20"/>
              </w:rPr>
              <w:t xml:space="preserve">логически структурирано и обосновано. </w:t>
            </w:r>
          </w:p>
          <w:p w:rsidR="00697965" w:rsidRDefault="00697965">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 xml:space="preserve">- Предложената организация на работата или на обособените етапи, или на ресурсното обезпечаване, или на координацията на дейностите и участниците в процеса не са логически и адекватно разпределени и не са обосновани. </w:t>
            </w:r>
          </w:p>
          <w:p w:rsidR="00697965" w:rsidRDefault="00697965">
            <w:pPr>
              <w:tabs>
                <w:tab w:val="left" w:pos="180"/>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Избраните методи, посочени от участника, и инструментите за изпълнение на услугата са общо представени или неясно формулирани.</w:t>
            </w:r>
            <w:r>
              <w:rPr>
                <w:rFonts w:ascii="Times New Roman" w:hAnsi="Times New Roman" w:cs="Times New Roman"/>
                <w:spacing w:val="3"/>
                <w:sz w:val="20"/>
                <w:szCs w:val="20"/>
              </w:rPr>
              <w:t xml:space="preserve">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Методите за отчетност и контрол не са съобразени със спецификата на поръчката, поради което не може да се направи категорична преценка дали същите могат да гарантират успешна реализация на поръчката.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Представената организация и методология не е логически обоснована и/или съдържа частични вътрешни противоречия. Някои от предвидените в нея дейности и методи за изпълнението могат да доведат до риск от реализиране на целите на поръчката.</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sz w:val="20"/>
                <w:szCs w:val="20"/>
              </w:rPr>
            </w:pPr>
            <w:r>
              <w:rPr>
                <w:rFonts w:ascii="Times New Roman" w:hAnsi="Times New Roman" w:cs="Times New Roman"/>
                <w:sz w:val="20"/>
                <w:szCs w:val="20"/>
              </w:rPr>
              <w:t>60 т.</w:t>
            </w:r>
          </w:p>
        </w:tc>
      </w:tr>
      <w:tr w:rsidR="00697965" w:rsidTr="00697965">
        <w:tc>
          <w:tcPr>
            <w:tcW w:w="0" w:type="auto"/>
            <w:vMerge/>
            <w:tcBorders>
              <w:top w:val="single" w:sz="4" w:space="0" w:color="auto"/>
              <w:left w:val="single" w:sz="4" w:space="0" w:color="auto"/>
              <w:bottom w:val="single" w:sz="4" w:space="0" w:color="auto"/>
              <w:right w:val="single" w:sz="4" w:space="0" w:color="auto"/>
            </w:tcBorders>
            <w:vAlign w:val="center"/>
            <w:hideMark/>
          </w:tcPr>
          <w:p w:rsidR="00697965" w:rsidRDefault="00697965">
            <w:pPr>
              <w:spacing w:after="0" w:line="240" w:lineRule="auto"/>
              <w:rPr>
                <w:rFonts w:ascii="Times New Roman" w:hAnsi="Times New Roman" w:cs="Times New Roman"/>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tabs>
                <w:tab w:val="left" w:pos="567"/>
                <w:tab w:val="left" w:pos="709"/>
              </w:tabs>
              <w:jc w:val="both"/>
              <w:rPr>
                <w:rFonts w:ascii="Times New Roman" w:hAnsi="Times New Roman" w:cs="Times New Roman"/>
                <w:b/>
                <w:sz w:val="20"/>
                <w:szCs w:val="20"/>
              </w:rPr>
            </w:pPr>
            <w:r>
              <w:rPr>
                <w:rFonts w:ascii="Times New Roman" w:hAnsi="Times New Roman" w:cs="Times New Roman"/>
                <w:b/>
                <w:sz w:val="20"/>
                <w:szCs w:val="20"/>
              </w:rPr>
              <w:t>Налице са поне три от следните условия:</w:t>
            </w:r>
          </w:p>
          <w:p w:rsidR="00697965" w:rsidRDefault="00697965">
            <w:pPr>
              <w:tabs>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xml:space="preserve">- В представената от участника организация и методология за изпълнение на част от </w:t>
            </w:r>
            <w:r>
              <w:rPr>
                <w:rFonts w:ascii="Times New Roman" w:hAnsi="Times New Roman" w:cs="Times New Roman"/>
                <w:spacing w:val="3"/>
                <w:sz w:val="20"/>
                <w:szCs w:val="20"/>
              </w:rPr>
              <w:t xml:space="preserve">планираните дейности за постигане на резултатите не </w:t>
            </w:r>
            <w:r>
              <w:rPr>
                <w:rFonts w:ascii="Times New Roman" w:hAnsi="Times New Roman" w:cs="Times New Roman"/>
                <w:sz w:val="20"/>
                <w:szCs w:val="20"/>
              </w:rPr>
              <w:t xml:space="preserve">са описани </w:t>
            </w:r>
            <w:r>
              <w:rPr>
                <w:rFonts w:ascii="Times New Roman" w:hAnsi="Times New Roman" w:cs="Times New Roman"/>
                <w:spacing w:val="3"/>
                <w:sz w:val="20"/>
                <w:szCs w:val="20"/>
              </w:rPr>
              <w:t xml:space="preserve">логически структурирано и обосновано. </w:t>
            </w:r>
          </w:p>
          <w:p w:rsidR="00697965" w:rsidRDefault="00697965">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 xml:space="preserve">- Предложената организация на работата или на обособените етапи, или на ресурсното обезпечаване, или на координацията на дейностите и участниците в процеса не са логически и адекватно разпределени и не са обосновани. </w:t>
            </w:r>
          </w:p>
          <w:p w:rsidR="00697965" w:rsidRDefault="00697965">
            <w:pPr>
              <w:tabs>
                <w:tab w:val="left" w:pos="180"/>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Избраните методи, посочени от участника, и инструментите за изпълнение на услугата са общо представени или неясно формулирани.</w:t>
            </w:r>
            <w:r>
              <w:rPr>
                <w:rFonts w:ascii="Times New Roman" w:hAnsi="Times New Roman" w:cs="Times New Roman"/>
                <w:spacing w:val="3"/>
                <w:sz w:val="20"/>
                <w:szCs w:val="20"/>
              </w:rPr>
              <w:t xml:space="preserve">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Методите за отчетност и контрол не са съобразени със спецификата на поръчката, поради което не може да се направи категорична преценка дали същите могат да гарантират успешна реализация на поръчката.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Представената организация и методология не е логически обоснована и/или съдържа частични вътрешни противоречия. Някои от предвидените в нея дейности и методи за изпълнението могат да доведат до риск от реализиране на целите на поръчката.</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sz w:val="20"/>
                <w:szCs w:val="20"/>
              </w:rPr>
            </w:pPr>
            <w:r>
              <w:rPr>
                <w:rFonts w:ascii="Times New Roman" w:hAnsi="Times New Roman" w:cs="Times New Roman"/>
                <w:sz w:val="20"/>
                <w:szCs w:val="20"/>
              </w:rPr>
              <w:t>40 т.</w:t>
            </w:r>
          </w:p>
        </w:tc>
      </w:tr>
      <w:tr w:rsidR="00697965" w:rsidTr="00697965">
        <w:tc>
          <w:tcPr>
            <w:tcW w:w="0" w:type="auto"/>
            <w:vMerge/>
            <w:tcBorders>
              <w:top w:val="single" w:sz="4" w:space="0" w:color="auto"/>
              <w:left w:val="single" w:sz="4" w:space="0" w:color="auto"/>
              <w:bottom w:val="single" w:sz="4" w:space="0" w:color="auto"/>
              <w:right w:val="single" w:sz="4" w:space="0" w:color="auto"/>
            </w:tcBorders>
            <w:vAlign w:val="center"/>
            <w:hideMark/>
          </w:tcPr>
          <w:p w:rsidR="00697965" w:rsidRDefault="00697965">
            <w:pPr>
              <w:spacing w:after="0" w:line="240" w:lineRule="auto"/>
              <w:rPr>
                <w:rFonts w:ascii="Times New Roman" w:hAnsi="Times New Roman" w:cs="Times New Roman"/>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tabs>
                <w:tab w:val="left" w:pos="567"/>
                <w:tab w:val="left" w:pos="709"/>
              </w:tabs>
              <w:jc w:val="both"/>
              <w:rPr>
                <w:rFonts w:ascii="Times New Roman" w:hAnsi="Times New Roman" w:cs="Times New Roman"/>
                <w:b/>
                <w:sz w:val="20"/>
                <w:szCs w:val="20"/>
              </w:rPr>
            </w:pPr>
            <w:r>
              <w:rPr>
                <w:rFonts w:ascii="Times New Roman" w:hAnsi="Times New Roman" w:cs="Times New Roman"/>
                <w:b/>
                <w:sz w:val="20"/>
                <w:szCs w:val="20"/>
              </w:rPr>
              <w:t>Налице са поне четири от следните условия:</w:t>
            </w:r>
          </w:p>
          <w:p w:rsidR="00697965" w:rsidRDefault="00697965">
            <w:pPr>
              <w:tabs>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xml:space="preserve">- В представената от участника организация и методология за изпълнение на част от </w:t>
            </w:r>
            <w:r>
              <w:rPr>
                <w:rFonts w:ascii="Times New Roman" w:hAnsi="Times New Roman" w:cs="Times New Roman"/>
                <w:spacing w:val="3"/>
                <w:sz w:val="20"/>
                <w:szCs w:val="20"/>
              </w:rPr>
              <w:t xml:space="preserve">планираните дейности за постигане на резултатите не </w:t>
            </w:r>
            <w:r>
              <w:rPr>
                <w:rFonts w:ascii="Times New Roman" w:hAnsi="Times New Roman" w:cs="Times New Roman"/>
                <w:sz w:val="20"/>
                <w:szCs w:val="20"/>
              </w:rPr>
              <w:t xml:space="preserve">са описани </w:t>
            </w:r>
            <w:r>
              <w:rPr>
                <w:rFonts w:ascii="Times New Roman" w:hAnsi="Times New Roman" w:cs="Times New Roman"/>
                <w:spacing w:val="3"/>
                <w:sz w:val="20"/>
                <w:szCs w:val="20"/>
              </w:rPr>
              <w:t xml:space="preserve">логически структурирано и обосновано. </w:t>
            </w:r>
          </w:p>
          <w:p w:rsidR="00697965" w:rsidRDefault="00697965">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 xml:space="preserve">- Предложената организация на работата или на обособените етапи, или на ресурсното обезпечаване, или на координацията на дейностите и участниците в процеса не са логически и адекватно разпределени и не са обосновани. </w:t>
            </w:r>
          </w:p>
          <w:p w:rsidR="00697965" w:rsidRDefault="00697965">
            <w:pPr>
              <w:tabs>
                <w:tab w:val="left" w:pos="180"/>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Избраните методи, посочени от участника, и инструментите за изпълнение на услугата са общо представени или неясно формулирани.</w:t>
            </w:r>
            <w:r>
              <w:rPr>
                <w:rFonts w:ascii="Times New Roman" w:hAnsi="Times New Roman" w:cs="Times New Roman"/>
                <w:spacing w:val="3"/>
                <w:sz w:val="20"/>
                <w:szCs w:val="20"/>
              </w:rPr>
              <w:t xml:space="preserve">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Методите за отчетност и контрол не са съобразени със спецификата на поръчката, поради което не може да се направи категорична преценка дали същите могат да гарантират успешна реализация на поръчката.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Представената организация и методология не е логически обоснована и/или съдържа частични вътрешни противоречия. Някои от предвидените в нея дейности и методи за изпълнението могат да доведат до риск от реализиране на целите на поръчката.</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sz w:val="20"/>
                <w:szCs w:val="20"/>
              </w:rPr>
            </w:pPr>
            <w:r>
              <w:rPr>
                <w:rFonts w:ascii="Times New Roman" w:hAnsi="Times New Roman" w:cs="Times New Roman"/>
                <w:sz w:val="20"/>
                <w:szCs w:val="20"/>
              </w:rPr>
              <w:t>20 т.</w:t>
            </w:r>
          </w:p>
        </w:tc>
      </w:tr>
      <w:tr w:rsidR="00697965" w:rsidTr="00697965">
        <w:tc>
          <w:tcPr>
            <w:tcW w:w="0" w:type="auto"/>
            <w:vMerge/>
            <w:tcBorders>
              <w:top w:val="single" w:sz="4" w:space="0" w:color="auto"/>
              <w:left w:val="single" w:sz="4" w:space="0" w:color="auto"/>
              <w:bottom w:val="single" w:sz="4" w:space="0" w:color="auto"/>
              <w:right w:val="single" w:sz="4" w:space="0" w:color="auto"/>
            </w:tcBorders>
            <w:vAlign w:val="center"/>
            <w:hideMark/>
          </w:tcPr>
          <w:p w:rsidR="00697965" w:rsidRDefault="00697965">
            <w:pPr>
              <w:spacing w:after="0" w:line="240" w:lineRule="auto"/>
              <w:rPr>
                <w:rFonts w:ascii="Times New Roman" w:hAnsi="Times New Roman" w:cs="Times New Roman"/>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rsidR="00697965" w:rsidRDefault="00697965">
            <w:pPr>
              <w:tabs>
                <w:tab w:val="left" w:pos="567"/>
                <w:tab w:val="left" w:pos="709"/>
              </w:tabs>
              <w:jc w:val="both"/>
              <w:rPr>
                <w:rFonts w:ascii="Times New Roman" w:hAnsi="Times New Roman" w:cs="Times New Roman"/>
                <w:b/>
                <w:sz w:val="20"/>
                <w:szCs w:val="20"/>
              </w:rPr>
            </w:pPr>
            <w:r>
              <w:rPr>
                <w:rFonts w:ascii="Times New Roman" w:hAnsi="Times New Roman" w:cs="Times New Roman"/>
                <w:b/>
                <w:sz w:val="20"/>
                <w:szCs w:val="20"/>
              </w:rPr>
              <w:t>Налице са всички посочени условия:</w:t>
            </w:r>
          </w:p>
          <w:p w:rsidR="00697965" w:rsidRDefault="00697965">
            <w:pPr>
              <w:tabs>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xml:space="preserve">- В представената от участника организация и методология за изпълнение на част от </w:t>
            </w:r>
            <w:r>
              <w:rPr>
                <w:rFonts w:ascii="Times New Roman" w:hAnsi="Times New Roman" w:cs="Times New Roman"/>
                <w:spacing w:val="3"/>
                <w:sz w:val="20"/>
                <w:szCs w:val="20"/>
              </w:rPr>
              <w:t xml:space="preserve">планираните дейности за постигане на резултатите не </w:t>
            </w:r>
            <w:r>
              <w:rPr>
                <w:rFonts w:ascii="Times New Roman" w:hAnsi="Times New Roman" w:cs="Times New Roman"/>
                <w:sz w:val="20"/>
                <w:szCs w:val="20"/>
              </w:rPr>
              <w:t xml:space="preserve">са описани </w:t>
            </w:r>
            <w:r>
              <w:rPr>
                <w:rFonts w:ascii="Times New Roman" w:hAnsi="Times New Roman" w:cs="Times New Roman"/>
                <w:spacing w:val="3"/>
                <w:sz w:val="20"/>
                <w:szCs w:val="20"/>
              </w:rPr>
              <w:t xml:space="preserve">логически структурирано и обосновано. </w:t>
            </w:r>
          </w:p>
          <w:p w:rsidR="00697965" w:rsidRDefault="00697965">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 xml:space="preserve">- Предложената организация на работата или на обособените етапи, или на ресурсното обезпечаване, или на координацията на дейностите и участниците в процеса не са логически и адекватно разпределени и не са обосновани. </w:t>
            </w:r>
          </w:p>
          <w:p w:rsidR="00697965" w:rsidRDefault="00697965">
            <w:pPr>
              <w:tabs>
                <w:tab w:val="left" w:pos="180"/>
                <w:tab w:val="left" w:pos="567"/>
                <w:tab w:val="left" w:pos="709"/>
              </w:tabs>
              <w:jc w:val="both"/>
              <w:rPr>
                <w:rFonts w:ascii="Times New Roman" w:hAnsi="Times New Roman" w:cs="Times New Roman"/>
                <w:spacing w:val="3"/>
                <w:sz w:val="20"/>
                <w:szCs w:val="20"/>
              </w:rPr>
            </w:pPr>
            <w:r>
              <w:rPr>
                <w:rFonts w:ascii="Times New Roman" w:hAnsi="Times New Roman" w:cs="Times New Roman"/>
                <w:sz w:val="20"/>
                <w:szCs w:val="20"/>
              </w:rPr>
              <w:t>- Избраните методи, посочени от участника, и инструментите за изпълнение на услугата са общо представени или неясно формулирани.</w:t>
            </w:r>
            <w:r>
              <w:rPr>
                <w:rFonts w:ascii="Times New Roman" w:hAnsi="Times New Roman" w:cs="Times New Roman"/>
                <w:spacing w:val="3"/>
                <w:sz w:val="20"/>
                <w:szCs w:val="20"/>
              </w:rPr>
              <w:t xml:space="preserve"> </w:t>
            </w:r>
          </w:p>
          <w:p w:rsidR="00697965" w:rsidRDefault="00697965">
            <w:pPr>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Методите за отчетност и контрол не са съобразени със спецификата на поръчката, поради което не може да се направи категорична преценка дали същите могат да гарантират успешна реализация на поръчката. </w:t>
            </w:r>
          </w:p>
          <w:p w:rsidR="00697965" w:rsidRDefault="00697965">
            <w:pPr>
              <w:jc w:val="both"/>
              <w:rPr>
                <w:rFonts w:ascii="Times New Roman" w:hAnsi="Times New Roman" w:cs="Times New Roman"/>
                <w:sz w:val="20"/>
                <w:szCs w:val="20"/>
              </w:rPr>
            </w:pPr>
            <w:r>
              <w:rPr>
                <w:rFonts w:ascii="Times New Roman" w:hAnsi="Times New Roman" w:cs="Times New Roman"/>
                <w:spacing w:val="3"/>
                <w:sz w:val="20"/>
                <w:szCs w:val="20"/>
              </w:rPr>
              <w:t>- Представената организация и методология не е логически обоснована и/или съдържа частични вътрешни противоречия. Някои от предвидените в нея дейности и методи за изпълнението могат да доведат до риск от реализиране на целите на поръчката.</w:t>
            </w:r>
          </w:p>
        </w:tc>
        <w:tc>
          <w:tcPr>
            <w:tcW w:w="2127" w:type="dxa"/>
            <w:tcBorders>
              <w:top w:val="single" w:sz="4" w:space="0" w:color="auto"/>
              <w:left w:val="single" w:sz="4" w:space="0" w:color="auto"/>
              <w:bottom w:val="single" w:sz="4" w:space="0" w:color="auto"/>
              <w:right w:val="single" w:sz="4" w:space="0" w:color="auto"/>
            </w:tcBorders>
            <w:hideMark/>
          </w:tcPr>
          <w:p w:rsidR="00697965" w:rsidRDefault="00697965">
            <w:pPr>
              <w:jc w:val="center"/>
              <w:rPr>
                <w:rFonts w:ascii="Times New Roman" w:hAnsi="Times New Roman" w:cs="Times New Roman"/>
                <w:sz w:val="20"/>
                <w:szCs w:val="20"/>
              </w:rPr>
            </w:pPr>
            <w:r>
              <w:rPr>
                <w:rFonts w:ascii="Times New Roman" w:hAnsi="Times New Roman" w:cs="Times New Roman"/>
                <w:sz w:val="20"/>
                <w:szCs w:val="20"/>
              </w:rPr>
              <w:t>1 т.</w:t>
            </w:r>
          </w:p>
        </w:tc>
      </w:tr>
    </w:tbl>
    <w:p w:rsidR="00697965" w:rsidRDefault="00697965" w:rsidP="00697965">
      <w:pPr>
        <w:jc w:val="both"/>
        <w:rPr>
          <w:rFonts w:ascii="Times New Roman" w:hAnsi="Times New Roman" w:cs="Times New Roman"/>
          <w:sz w:val="24"/>
          <w:szCs w:val="24"/>
        </w:rPr>
      </w:pPr>
    </w:p>
    <w:p w:rsidR="00697965" w:rsidRDefault="00697965" w:rsidP="00697965">
      <w:pPr>
        <w:rPr>
          <w:rFonts w:ascii="Times New Roman" w:hAnsi="Times New Roman" w:cs="Times New Roman"/>
          <w:i/>
          <w:sz w:val="24"/>
          <w:szCs w:val="24"/>
        </w:rPr>
      </w:pPr>
      <w:r>
        <w:rPr>
          <w:rFonts w:ascii="Times New Roman" w:hAnsi="Times New Roman" w:cs="Times New Roman"/>
          <w:i/>
          <w:sz w:val="24"/>
          <w:szCs w:val="24"/>
        </w:rPr>
        <w:t>** логически структуриран подход е линеен процес от последователни части с логическа връзка между тях</w:t>
      </w:r>
    </w:p>
    <w:p w:rsidR="00697965" w:rsidRDefault="00697965" w:rsidP="00697965">
      <w:pPr>
        <w:rPr>
          <w:rFonts w:ascii="Times New Roman" w:hAnsi="Times New Roman" w:cs="Times New Roman"/>
          <w:i/>
          <w:sz w:val="24"/>
          <w:szCs w:val="24"/>
        </w:rPr>
      </w:pPr>
      <w:r>
        <w:rPr>
          <w:rFonts w:ascii="Times New Roman" w:hAnsi="Times New Roman" w:cs="Times New Roman"/>
          <w:i/>
          <w:sz w:val="24"/>
          <w:szCs w:val="24"/>
        </w:rPr>
        <w:t>**адекватно e разпределението на задачите между екипа за изпълнение на поръчката, съответстващи на тяхната компетентност и предвидената им роля.</w:t>
      </w:r>
    </w:p>
    <w:p w:rsidR="00697965" w:rsidRDefault="00697965" w:rsidP="00697965">
      <w:pPr>
        <w:jc w:val="both"/>
        <w:rPr>
          <w:rFonts w:ascii="Times New Roman" w:hAnsi="Times New Roman" w:cs="Times New Roman"/>
          <w:spacing w:val="3"/>
          <w:sz w:val="24"/>
          <w:szCs w:val="24"/>
        </w:rPr>
      </w:pPr>
    </w:p>
    <w:p w:rsidR="00697965" w:rsidRDefault="00697965" w:rsidP="00697965">
      <w:pPr>
        <w:jc w:val="both"/>
        <w:rPr>
          <w:rFonts w:ascii="Times New Roman" w:hAnsi="Times New Roman" w:cs="Times New Roman"/>
          <w:i/>
          <w:iCs/>
          <w:sz w:val="24"/>
          <w:szCs w:val="24"/>
        </w:rPr>
      </w:pPr>
      <w:r>
        <w:rPr>
          <w:rFonts w:ascii="Times New Roman" w:hAnsi="Times New Roman" w:cs="Times New Roman"/>
          <w:i/>
          <w:iCs/>
          <w:sz w:val="24"/>
          <w:szCs w:val="24"/>
        </w:rPr>
        <w:t>Оферти, в които липсва организация и методология няма да бъдат допуснати до оценка.</w:t>
      </w:r>
    </w:p>
    <w:p w:rsidR="00697965" w:rsidRDefault="00697965" w:rsidP="00697965">
      <w:pPr>
        <w:rPr>
          <w:rFonts w:ascii="Times New Roman" w:hAnsi="Times New Roman" w:cs="Times New Roman"/>
          <w:sz w:val="24"/>
          <w:szCs w:val="24"/>
        </w:rPr>
      </w:pPr>
      <w:r>
        <w:rPr>
          <w:rFonts w:ascii="Times New Roman" w:hAnsi="Times New Roman" w:cs="Times New Roman"/>
          <w:b/>
          <w:i/>
          <w:sz w:val="24"/>
          <w:szCs w:val="24"/>
        </w:rPr>
        <w:t>Забележка:</w:t>
      </w:r>
      <w:r>
        <w:rPr>
          <w:rFonts w:ascii="Times New Roman" w:hAnsi="Times New Roman" w:cs="Times New Roman"/>
          <w:i/>
          <w:sz w:val="24"/>
          <w:szCs w:val="24"/>
        </w:rPr>
        <w:t xml:space="preserve"> При извършване на оценяването по съответните показатели ще се използва </w:t>
      </w:r>
      <w:r>
        <w:rPr>
          <w:rFonts w:ascii="Times New Roman" w:hAnsi="Times New Roman" w:cs="Times New Roman"/>
          <w:b/>
          <w:i/>
          <w:sz w:val="24"/>
          <w:szCs w:val="24"/>
        </w:rPr>
        <w:t>закръгляне до втория знак след десетичната запетая (в приложимите случаи).</w:t>
      </w:r>
    </w:p>
    <w:p w:rsidR="00697965" w:rsidRDefault="00697965" w:rsidP="00697965">
      <w:pPr>
        <w:jc w:val="both"/>
        <w:rPr>
          <w:rFonts w:ascii="Times New Roman" w:hAnsi="Times New Roman" w:cs="Times New Roman"/>
          <w:sz w:val="24"/>
          <w:szCs w:val="24"/>
        </w:rPr>
      </w:pPr>
    </w:p>
    <w:p w:rsidR="00697965" w:rsidRDefault="00697965" w:rsidP="00697965">
      <w:pPr>
        <w:jc w:val="both"/>
        <w:rPr>
          <w:rFonts w:ascii="Times New Roman" w:hAnsi="Times New Roman" w:cs="Times New Roman"/>
          <w:sz w:val="24"/>
          <w:szCs w:val="24"/>
        </w:rPr>
      </w:pPr>
      <w:r>
        <w:rPr>
          <w:rFonts w:ascii="Times New Roman" w:hAnsi="Times New Roman" w:cs="Times New Roman"/>
          <w:b/>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rsidR="00697965" w:rsidRDefault="00697965" w:rsidP="00697965">
      <w:pPr>
        <w:jc w:val="both"/>
        <w:rPr>
          <w:rFonts w:ascii="Times New Roman" w:hAnsi="Times New Roman" w:cs="Times New Roman"/>
          <w:sz w:val="24"/>
          <w:szCs w:val="24"/>
        </w:rPr>
      </w:pPr>
      <w:r>
        <w:rPr>
          <w:rFonts w:ascii="Times New Roman" w:hAnsi="Times New Roman" w:cs="Times New Roman"/>
          <w:b/>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697965" w:rsidRDefault="00697965" w:rsidP="00697965">
      <w:pPr>
        <w:jc w:val="both"/>
        <w:rPr>
          <w:rFonts w:ascii="Times New Roman" w:hAnsi="Times New Roman" w:cs="Times New Roman"/>
          <w:b/>
          <w:bCs/>
          <w:sz w:val="24"/>
          <w:szCs w:val="24"/>
        </w:rPr>
      </w:pPr>
    </w:p>
    <w:p w:rsidR="00697965" w:rsidRDefault="00697965" w:rsidP="00697965">
      <w:pPr>
        <w:ind w:firstLine="480"/>
        <w:jc w:val="both"/>
        <w:rPr>
          <w:rFonts w:ascii="Times New Roman" w:hAnsi="Times New Roman" w:cs="Times New Roman"/>
          <w:sz w:val="24"/>
          <w:szCs w:val="24"/>
        </w:rPr>
      </w:pPr>
      <w:r>
        <w:rPr>
          <w:rFonts w:ascii="Times New Roman" w:hAnsi="Times New Roman" w:cs="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697965" w:rsidRDefault="00697965" w:rsidP="00697965">
      <w:pPr>
        <w:ind w:firstLine="480"/>
        <w:jc w:val="both"/>
        <w:rPr>
          <w:rFonts w:ascii="Times New Roman" w:hAnsi="Times New Roman" w:cs="Times New Roman"/>
          <w:sz w:val="24"/>
          <w:szCs w:val="24"/>
        </w:rPr>
      </w:pPr>
      <w:r>
        <w:rPr>
          <w:rFonts w:ascii="Times New Roman" w:hAnsi="Times New Roman" w:cs="Times New Roman"/>
          <w:sz w:val="24"/>
          <w:szCs w:val="24"/>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чл. 71, ал. 4 от ЗОП.</w:t>
      </w:r>
    </w:p>
    <w:sectPr w:rsidR="00697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02A"/>
    <w:multiLevelType w:val="multilevel"/>
    <w:tmpl w:val="B32AD3AE"/>
    <w:styleLink w:val="Mystyle"/>
    <w:lvl w:ilvl="0">
      <w:start w:val="1"/>
      <w:numFmt w:val="upperRoman"/>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9F9413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AF00DD2"/>
    <w:multiLevelType w:val="hybridMultilevel"/>
    <w:tmpl w:val="37F4D5C6"/>
    <w:lvl w:ilvl="0" w:tplc="99D85B7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65"/>
    <w:rsid w:val="004840F7"/>
    <w:rsid w:val="00697965"/>
    <w:rsid w:val="00EF0B90"/>
    <w:rsid w:val="00F254E8"/>
    <w:rsid w:val="00F74D5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65"/>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Mystyle">
    <w:name w:val="My style"/>
    <w:uiPriority w:val="99"/>
    <w:rsid w:val="004840F7"/>
    <w:pPr>
      <w:numPr>
        <w:numId w:val="1"/>
      </w:numPr>
    </w:pPr>
  </w:style>
  <w:style w:type="paragraph" w:styleId="a3">
    <w:name w:val="header"/>
    <w:basedOn w:val="a"/>
    <w:link w:val="a4"/>
    <w:uiPriority w:val="99"/>
    <w:semiHidden/>
    <w:unhideWhenUsed/>
    <w:rsid w:val="0069796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uiPriority w:val="99"/>
    <w:semiHidden/>
    <w:rsid w:val="00697965"/>
    <w:rPr>
      <w:rFonts w:ascii="Times New Roman" w:eastAsia="Times New Roman" w:hAnsi="Times New Roman" w:cs="Times New Roman"/>
      <w:sz w:val="24"/>
      <w:szCs w:val="24"/>
      <w:lang w:eastAsia="bg-BG"/>
    </w:rPr>
  </w:style>
  <w:style w:type="paragraph" w:styleId="a5">
    <w:name w:val="List Paragraph"/>
    <w:basedOn w:val="a"/>
    <w:uiPriority w:val="34"/>
    <w:qFormat/>
    <w:rsid w:val="00697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65"/>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Mystyle">
    <w:name w:val="My style"/>
    <w:uiPriority w:val="99"/>
    <w:rsid w:val="004840F7"/>
    <w:pPr>
      <w:numPr>
        <w:numId w:val="1"/>
      </w:numPr>
    </w:pPr>
  </w:style>
  <w:style w:type="paragraph" w:styleId="a3">
    <w:name w:val="header"/>
    <w:basedOn w:val="a"/>
    <w:link w:val="a4"/>
    <w:uiPriority w:val="99"/>
    <w:semiHidden/>
    <w:unhideWhenUsed/>
    <w:rsid w:val="0069796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uiPriority w:val="99"/>
    <w:semiHidden/>
    <w:rsid w:val="00697965"/>
    <w:rPr>
      <w:rFonts w:ascii="Times New Roman" w:eastAsia="Times New Roman" w:hAnsi="Times New Roman" w:cs="Times New Roman"/>
      <w:sz w:val="24"/>
      <w:szCs w:val="24"/>
      <w:lang w:eastAsia="bg-BG"/>
    </w:rPr>
  </w:style>
  <w:style w:type="paragraph" w:styleId="a5">
    <w:name w:val="List Paragraph"/>
    <w:basedOn w:val="a"/>
    <w:uiPriority w:val="34"/>
    <w:qFormat/>
    <w:rsid w:val="0069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Magisterium Ltd</dc:creator>
  <cp:lastModifiedBy>User</cp:lastModifiedBy>
  <cp:revision>2</cp:revision>
  <dcterms:created xsi:type="dcterms:W3CDTF">2015-08-20T14:20:00Z</dcterms:created>
  <dcterms:modified xsi:type="dcterms:W3CDTF">2015-08-20T14:20:00Z</dcterms:modified>
</cp:coreProperties>
</file>